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4EFA" w:rsidRPr="008C02E8" w:rsidRDefault="00924EFA" w:rsidP="00B01A94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b/>
          <w:sz w:val="24"/>
          <w:szCs w:val="24"/>
        </w:rPr>
      </w:pPr>
    </w:p>
    <w:p w:rsidR="008C02E8" w:rsidRPr="008C02E8" w:rsidRDefault="008C02E8" w:rsidP="00B01A94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b/>
          <w:color w:val="FF0000"/>
          <w:sz w:val="24"/>
          <w:szCs w:val="24"/>
        </w:rPr>
      </w:pPr>
      <w:r w:rsidRPr="009B394B">
        <w:rPr>
          <w:color w:val="FF0000"/>
          <w:sz w:val="24"/>
          <w:szCs w:val="24"/>
          <w:shd w:val="clear" w:color="auto" w:fill="FFFFFF"/>
        </w:rPr>
        <w:t>Deadline for abstract submission 20.12.2015</w:t>
      </w:r>
      <w:r w:rsidRPr="008C02E8">
        <w:rPr>
          <w:color w:val="222222"/>
          <w:sz w:val="24"/>
          <w:szCs w:val="24"/>
          <w:shd w:val="clear" w:color="auto" w:fill="FFFFFF"/>
        </w:rPr>
        <w:t>.</w:t>
      </w:r>
    </w:p>
    <w:p w:rsidR="003D677B" w:rsidRDefault="00FB7691" w:rsidP="00B01A94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b/>
          <w:color w:val="FF0000"/>
          <w:sz w:val="24"/>
          <w:szCs w:val="24"/>
        </w:rPr>
      </w:pPr>
      <w:hyperlink r:id="rId7" w:history="1">
        <w:r w:rsidR="003D677B" w:rsidRPr="00766265">
          <w:rPr>
            <w:rStyle w:val="Hyperlink"/>
          </w:rPr>
          <w:t>www.cnmhm2016.cogpsy.ro</w:t>
        </w:r>
      </w:hyperlink>
    </w:p>
    <w:p w:rsidR="00B01A94" w:rsidRPr="00924EFA" w:rsidRDefault="00B01A94" w:rsidP="003D677B">
      <w:pPr>
        <w:widowControl w:val="0"/>
        <w:autoSpaceDE w:val="0"/>
        <w:autoSpaceDN w:val="0"/>
        <w:adjustRightInd w:val="0"/>
        <w:snapToGrid w:val="0"/>
        <w:spacing w:line="240" w:lineRule="auto"/>
        <w:rPr>
          <w:b/>
          <w:sz w:val="24"/>
          <w:szCs w:val="24"/>
        </w:rPr>
      </w:pPr>
    </w:p>
    <w:p w:rsidR="00B01A94" w:rsidRPr="00924EFA" w:rsidRDefault="00B01A94" w:rsidP="00B01A94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b/>
          <w:i/>
          <w:sz w:val="28"/>
          <w:szCs w:val="28"/>
        </w:rPr>
      </w:pPr>
      <w:r w:rsidRPr="00924EFA">
        <w:rPr>
          <w:b/>
          <w:i/>
          <w:sz w:val="28"/>
          <w:szCs w:val="28"/>
        </w:rPr>
        <w:t>International Conference</w:t>
      </w:r>
    </w:p>
    <w:p w:rsidR="00B01A94" w:rsidRPr="00924EFA" w:rsidRDefault="00B01A94" w:rsidP="00B01A94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b/>
          <w:sz w:val="28"/>
          <w:szCs w:val="28"/>
        </w:rPr>
      </w:pPr>
      <w:r w:rsidRPr="00924EFA">
        <w:rPr>
          <w:b/>
          <w:sz w:val="28"/>
          <w:szCs w:val="28"/>
        </w:rPr>
        <w:t>“</w:t>
      </w:r>
      <w:r w:rsidRPr="00924EFA">
        <w:rPr>
          <w:b/>
          <w:i/>
          <w:sz w:val="28"/>
          <w:szCs w:val="28"/>
        </w:rPr>
        <w:t>Cognitive and Neural Mechanisms</w:t>
      </w:r>
      <w:r w:rsidR="00C77CD0">
        <w:rPr>
          <w:b/>
          <w:i/>
          <w:sz w:val="28"/>
          <w:szCs w:val="28"/>
        </w:rPr>
        <w:t xml:space="preserve"> </w:t>
      </w:r>
      <w:r w:rsidRPr="00924EFA">
        <w:rPr>
          <w:b/>
          <w:i/>
          <w:sz w:val="28"/>
          <w:szCs w:val="28"/>
        </w:rPr>
        <w:t>of Human Memory</w:t>
      </w:r>
      <w:r w:rsidRPr="00924EFA">
        <w:rPr>
          <w:b/>
          <w:sz w:val="28"/>
          <w:szCs w:val="28"/>
        </w:rPr>
        <w:t>”</w:t>
      </w:r>
    </w:p>
    <w:p w:rsidR="00B01A94" w:rsidRPr="00924EFA" w:rsidRDefault="00B01A94" w:rsidP="00B01A94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b/>
          <w:sz w:val="28"/>
          <w:szCs w:val="28"/>
        </w:rPr>
      </w:pPr>
    </w:p>
    <w:p w:rsidR="00B01A94" w:rsidRPr="00924EFA" w:rsidRDefault="00B01A94" w:rsidP="008D6E66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b/>
          <w:sz w:val="24"/>
          <w:szCs w:val="24"/>
        </w:rPr>
      </w:pPr>
      <w:r w:rsidRPr="00924EFA">
        <w:rPr>
          <w:b/>
          <w:sz w:val="24"/>
          <w:szCs w:val="24"/>
        </w:rPr>
        <w:t>17</w:t>
      </w:r>
      <w:r w:rsidRPr="00924EFA">
        <w:rPr>
          <w:b/>
          <w:sz w:val="24"/>
          <w:szCs w:val="24"/>
          <w:vertAlign w:val="superscript"/>
        </w:rPr>
        <w:t>th</w:t>
      </w:r>
      <w:r w:rsidRPr="00924EFA">
        <w:rPr>
          <w:b/>
          <w:sz w:val="24"/>
          <w:szCs w:val="24"/>
        </w:rPr>
        <w:t xml:space="preserve"> -20</w:t>
      </w:r>
      <w:r w:rsidRPr="00924EFA">
        <w:rPr>
          <w:b/>
          <w:sz w:val="24"/>
          <w:szCs w:val="24"/>
          <w:vertAlign w:val="superscript"/>
        </w:rPr>
        <w:t>th</w:t>
      </w:r>
      <w:r w:rsidRPr="00924EFA">
        <w:rPr>
          <w:b/>
          <w:sz w:val="24"/>
          <w:szCs w:val="24"/>
        </w:rPr>
        <w:t xml:space="preserve"> May, 2016 </w:t>
      </w:r>
    </w:p>
    <w:p w:rsidR="00F4300C" w:rsidRDefault="00B01A94" w:rsidP="008D6E66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b/>
          <w:sz w:val="24"/>
          <w:szCs w:val="24"/>
        </w:rPr>
      </w:pPr>
      <w:r w:rsidRPr="00924EFA">
        <w:rPr>
          <w:b/>
          <w:sz w:val="24"/>
          <w:szCs w:val="24"/>
        </w:rPr>
        <w:t>Cluj-Napoca, Romania</w:t>
      </w:r>
    </w:p>
    <w:p w:rsidR="009B394B" w:rsidRDefault="009B394B" w:rsidP="008D6E66">
      <w:pPr>
        <w:widowControl w:val="0"/>
        <w:autoSpaceDE w:val="0"/>
        <w:autoSpaceDN w:val="0"/>
        <w:adjustRightInd w:val="0"/>
        <w:snapToGrid w:val="0"/>
        <w:spacing w:line="240" w:lineRule="auto"/>
        <w:jc w:val="center"/>
        <w:rPr>
          <w:b/>
          <w:sz w:val="24"/>
          <w:szCs w:val="24"/>
        </w:rPr>
      </w:pPr>
    </w:p>
    <w:p w:rsidR="00C3225D" w:rsidRPr="009B394B" w:rsidRDefault="009B394B" w:rsidP="009B394B">
      <w:pPr>
        <w:spacing w:line="240" w:lineRule="auto"/>
        <w:ind w:left="720" w:firstLine="720"/>
        <w:rPr>
          <w:rFonts w:ascii="Verdana" w:eastAsia="Times New Roman" w:hAnsi="Verdana" w:cs="Times New Roman"/>
          <w:color w:val="FF0000"/>
          <w:sz w:val="24"/>
          <w:szCs w:val="24"/>
        </w:rPr>
      </w:pPr>
      <w:r>
        <w:rPr>
          <w:rFonts w:ascii="Verdana" w:eastAsia="Times New Roman" w:hAnsi="Verdana" w:cs="Times New Roman"/>
          <w:color w:val="FF0000"/>
          <w:sz w:val="24"/>
          <w:szCs w:val="24"/>
        </w:rPr>
        <w:t xml:space="preserve">       </w:t>
      </w:r>
      <w:r w:rsidRPr="00215CEC">
        <w:rPr>
          <w:rFonts w:ascii="Verdana" w:eastAsia="Times New Roman" w:hAnsi="Verdana" w:cs="Times New Roman"/>
          <w:color w:val="FF0000"/>
          <w:sz w:val="24"/>
          <w:szCs w:val="24"/>
        </w:rPr>
        <w:t xml:space="preserve">2 days left </w:t>
      </w:r>
      <w:r w:rsidRPr="009B394B">
        <w:rPr>
          <w:color w:val="000000" w:themeColor="text1"/>
          <w:sz w:val="24"/>
          <w:szCs w:val="24"/>
          <w:shd w:val="clear" w:color="auto" w:fill="FFFFFF"/>
        </w:rPr>
        <w:t xml:space="preserve">for </w:t>
      </w:r>
      <w:r w:rsidRPr="009B394B">
        <w:rPr>
          <w:color w:val="000000" w:themeColor="text1"/>
          <w:sz w:val="24"/>
          <w:szCs w:val="24"/>
          <w:u w:val="single"/>
          <w:shd w:val="clear" w:color="auto" w:fill="FFFFFF"/>
        </w:rPr>
        <w:t>abstract submission</w:t>
      </w:r>
      <w:r w:rsidRPr="009B394B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B394B">
        <w:rPr>
          <w:color w:val="FF0000"/>
          <w:sz w:val="24"/>
          <w:szCs w:val="24"/>
          <w:shd w:val="clear" w:color="auto" w:fill="FFFFFF"/>
        </w:rPr>
        <w:t>20.12.2015</w:t>
      </w:r>
    </w:p>
    <w:p w:rsidR="003C0EBD" w:rsidRDefault="003C0EBD" w:rsidP="003C0EBD">
      <w:pPr>
        <w:shd w:val="clear" w:color="auto" w:fill="FFFFFF"/>
        <w:spacing w:line="312" w:lineRule="atLeast"/>
        <w:textAlignment w:val="baseline"/>
        <w:outlineLvl w:val="0"/>
        <w:rPr>
          <w:rFonts w:eastAsia="Times New Roman"/>
          <w:b/>
          <w:bCs/>
          <w:color w:val="000000" w:themeColor="text1"/>
          <w:kern w:val="36"/>
          <w:sz w:val="24"/>
          <w:szCs w:val="24"/>
        </w:rPr>
      </w:pPr>
    </w:p>
    <w:p w:rsidR="009B673E" w:rsidRPr="00690BC8" w:rsidRDefault="009B673E" w:rsidP="009B673E">
      <w:pPr>
        <w:spacing w:line="240" w:lineRule="auto"/>
        <w:rPr>
          <w:rFonts w:ascii="Verdana" w:eastAsia="Times New Roman" w:hAnsi="Verdana" w:cs="Times New Roman"/>
          <w:szCs w:val="22"/>
        </w:rPr>
      </w:pPr>
      <w:r w:rsidRPr="00AE3860">
        <w:rPr>
          <w:rFonts w:ascii="Verdana" w:eastAsia="Times New Roman" w:hAnsi="Verdana" w:cs="Times New Roman"/>
          <w:b/>
          <w:szCs w:val="22"/>
        </w:rPr>
        <w:t>T</w:t>
      </w:r>
      <w:r w:rsidR="00353E93" w:rsidRPr="00AE3860">
        <w:rPr>
          <w:rFonts w:ascii="Verdana" w:eastAsia="Times New Roman" w:hAnsi="Verdana" w:cs="Times New Roman"/>
          <w:b/>
          <w:szCs w:val="22"/>
        </w:rPr>
        <w:t>he topics</w:t>
      </w:r>
      <w:r w:rsidR="00353E93">
        <w:rPr>
          <w:rFonts w:ascii="Verdana" w:eastAsia="Times New Roman" w:hAnsi="Verdana" w:cs="Times New Roman"/>
          <w:szCs w:val="22"/>
        </w:rPr>
        <w:t xml:space="preserve"> for poster and oral</w:t>
      </w:r>
      <w:r w:rsidRPr="00690BC8">
        <w:rPr>
          <w:rFonts w:ascii="Verdana" w:eastAsia="Times New Roman" w:hAnsi="Verdana" w:cs="Times New Roman"/>
          <w:szCs w:val="22"/>
        </w:rPr>
        <w:t xml:space="preserve"> presentations are not limited to human memory. Thus, </w:t>
      </w:r>
      <w:r w:rsidRPr="00690BC8">
        <w:rPr>
          <w:rFonts w:ascii="Verdana" w:eastAsia="Times New Roman" w:hAnsi="Verdana" w:cs="Times New Roman"/>
          <w:b/>
          <w:bCs/>
          <w:szCs w:val="22"/>
        </w:rPr>
        <w:t>we welcome submissions on related topics</w:t>
      </w:r>
      <w:r w:rsidRPr="00690BC8">
        <w:rPr>
          <w:rFonts w:ascii="Verdana" w:eastAsia="Times New Roman" w:hAnsi="Verdana" w:cs="Times New Roman"/>
          <w:szCs w:val="22"/>
        </w:rPr>
        <w:t>, such as:</w:t>
      </w:r>
    </w:p>
    <w:p w:rsidR="009B673E" w:rsidRPr="00690BC8" w:rsidRDefault="009B673E" w:rsidP="009B673E">
      <w:pPr>
        <w:numPr>
          <w:ilvl w:val="0"/>
          <w:numId w:val="4"/>
        </w:numPr>
        <w:spacing w:before="100" w:beforeAutospacing="1" w:after="100" w:afterAutospacing="1" w:line="262" w:lineRule="atLeast"/>
        <w:ind w:left="523"/>
        <w:jc w:val="both"/>
        <w:rPr>
          <w:rFonts w:eastAsia="Times New Roman"/>
          <w:color w:val="222222"/>
          <w:szCs w:val="22"/>
        </w:rPr>
      </w:pPr>
      <w:r w:rsidRPr="00690BC8">
        <w:rPr>
          <w:rFonts w:eastAsia="Times New Roman"/>
          <w:color w:val="222222"/>
          <w:szCs w:val="22"/>
        </w:rPr>
        <w:t>Perception </w:t>
      </w:r>
    </w:p>
    <w:p w:rsidR="009B673E" w:rsidRPr="00690BC8" w:rsidRDefault="009B673E" w:rsidP="009B673E">
      <w:pPr>
        <w:numPr>
          <w:ilvl w:val="0"/>
          <w:numId w:val="4"/>
        </w:numPr>
        <w:spacing w:before="100" w:beforeAutospacing="1" w:after="100" w:afterAutospacing="1" w:line="262" w:lineRule="atLeast"/>
        <w:ind w:left="523"/>
        <w:jc w:val="both"/>
        <w:rPr>
          <w:rFonts w:eastAsia="Times New Roman"/>
          <w:color w:val="222222"/>
          <w:szCs w:val="22"/>
        </w:rPr>
      </w:pPr>
      <w:r w:rsidRPr="00690BC8">
        <w:rPr>
          <w:rFonts w:eastAsia="Times New Roman"/>
          <w:color w:val="222222"/>
          <w:szCs w:val="22"/>
        </w:rPr>
        <w:t>Attention</w:t>
      </w:r>
    </w:p>
    <w:p w:rsidR="009B673E" w:rsidRPr="00690BC8" w:rsidRDefault="009B673E" w:rsidP="009B673E">
      <w:pPr>
        <w:numPr>
          <w:ilvl w:val="0"/>
          <w:numId w:val="4"/>
        </w:numPr>
        <w:spacing w:before="100" w:beforeAutospacing="1" w:after="100" w:afterAutospacing="1" w:line="262" w:lineRule="atLeast"/>
        <w:ind w:left="523"/>
        <w:jc w:val="both"/>
        <w:rPr>
          <w:rFonts w:eastAsia="Times New Roman"/>
          <w:color w:val="222222"/>
          <w:szCs w:val="22"/>
        </w:rPr>
      </w:pPr>
      <w:r w:rsidRPr="00690BC8">
        <w:rPr>
          <w:rFonts w:eastAsia="Times New Roman"/>
          <w:color w:val="222222"/>
          <w:szCs w:val="22"/>
        </w:rPr>
        <w:t>Learning </w:t>
      </w:r>
    </w:p>
    <w:p w:rsidR="009B673E" w:rsidRPr="00690BC8" w:rsidRDefault="009B673E" w:rsidP="009B673E">
      <w:pPr>
        <w:numPr>
          <w:ilvl w:val="0"/>
          <w:numId w:val="4"/>
        </w:numPr>
        <w:spacing w:before="100" w:beforeAutospacing="1" w:after="100" w:afterAutospacing="1" w:line="262" w:lineRule="atLeast"/>
        <w:ind w:left="523"/>
        <w:jc w:val="both"/>
        <w:rPr>
          <w:rFonts w:eastAsia="Times New Roman"/>
          <w:color w:val="222222"/>
          <w:szCs w:val="22"/>
        </w:rPr>
      </w:pPr>
      <w:r w:rsidRPr="00690BC8">
        <w:rPr>
          <w:rFonts w:eastAsia="Times New Roman"/>
          <w:color w:val="222222"/>
          <w:szCs w:val="22"/>
        </w:rPr>
        <w:t>Problem solving</w:t>
      </w:r>
    </w:p>
    <w:p w:rsidR="009B673E" w:rsidRPr="00690BC8" w:rsidRDefault="009B673E" w:rsidP="009B673E">
      <w:pPr>
        <w:numPr>
          <w:ilvl w:val="0"/>
          <w:numId w:val="4"/>
        </w:numPr>
        <w:spacing w:before="100" w:beforeAutospacing="1" w:after="100" w:afterAutospacing="1" w:line="262" w:lineRule="atLeast"/>
        <w:ind w:left="523"/>
        <w:jc w:val="both"/>
        <w:rPr>
          <w:rFonts w:eastAsia="Times New Roman"/>
          <w:color w:val="222222"/>
          <w:szCs w:val="22"/>
        </w:rPr>
      </w:pPr>
      <w:r w:rsidRPr="00690BC8">
        <w:rPr>
          <w:rFonts w:eastAsia="Times New Roman"/>
          <w:color w:val="222222"/>
          <w:szCs w:val="22"/>
        </w:rPr>
        <w:t>Emotion</w:t>
      </w:r>
    </w:p>
    <w:p w:rsidR="009B673E" w:rsidRPr="00690BC8" w:rsidRDefault="009B673E" w:rsidP="009B673E">
      <w:pPr>
        <w:numPr>
          <w:ilvl w:val="0"/>
          <w:numId w:val="4"/>
        </w:numPr>
        <w:spacing w:before="100" w:beforeAutospacing="1" w:after="100" w:afterAutospacing="1" w:line="262" w:lineRule="atLeast"/>
        <w:ind w:left="523"/>
        <w:jc w:val="both"/>
        <w:rPr>
          <w:rFonts w:eastAsia="Times New Roman"/>
          <w:color w:val="222222"/>
          <w:szCs w:val="22"/>
        </w:rPr>
      </w:pPr>
      <w:r w:rsidRPr="00690BC8">
        <w:rPr>
          <w:rFonts w:eastAsia="Times New Roman"/>
          <w:color w:val="222222"/>
          <w:szCs w:val="22"/>
        </w:rPr>
        <w:t>Decision making</w:t>
      </w:r>
    </w:p>
    <w:p w:rsidR="003C0EBD" w:rsidRPr="00690BC8" w:rsidRDefault="009B673E" w:rsidP="00690BC8">
      <w:pPr>
        <w:numPr>
          <w:ilvl w:val="0"/>
          <w:numId w:val="4"/>
        </w:numPr>
        <w:spacing w:before="100" w:beforeAutospacing="1" w:after="100" w:afterAutospacing="1" w:line="262" w:lineRule="atLeast"/>
        <w:ind w:left="523"/>
        <w:jc w:val="both"/>
        <w:rPr>
          <w:rFonts w:eastAsia="Times New Roman"/>
          <w:color w:val="222222"/>
          <w:szCs w:val="22"/>
        </w:rPr>
      </w:pPr>
      <w:r w:rsidRPr="00690BC8">
        <w:rPr>
          <w:rFonts w:eastAsia="Times New Roman"/>
          <w:color w:val="222222"/>
          <w:szCs w:val="22"/>
        </w:rPr>
        <w:t>Mental imagery</w:t>
      </w:r>
    </w:p>
    <w:p w:rsidR="003C0EBD" w:rsidRPr="00690BC8" w:rsidRDefault="003C0EBD" w:rsidP="003C0EBD">
      <w:pPr>
        <w:spacing w:line="240" w:lineRule="auto"/>
        <w:rPr>
          <w:rFonts w:ascii="Verdana" w:eastAsia="Times New Roman" w:hAnsi="Verdana" w:cs="Times New Roman"/>
          <w:szCs w:val="22"/>
        </w:rPr>
      </w:pPr>
      <w:r w:rsidRPr="00AE3860">
        <w:rPr>
          <w:rFonts w:ascii="Verdana" w:eastAsia="Times New Roman" w:hAnsi="Verdana" w:cs="Times New Roman"/>
          <w:b/>
          <w:szCs w:val="22"/>
        </w:rPr>
        <w:t>Elsevier</w:t>
      </w:r>
      <w:r w:rsidR="00AE3860">
        <w:rPr>
          <w:rFonts w:ascii="Verdana" w:eastAsia="Times New Roman" w:hAnsi="Verdana" w:cs="Times New Roman"/>
          <w:szCs w:val="22"/>
        </w:rPr>
        <w:t xml:space="preserve">, </w:t>
      </w:r>
      <w:r w:rsidRPr="00690BC8">
        <w:rPr>
          <w:rFonts w:ascii="Verdana" w:eastAsia="Times New Roman" w:hAnsi="Verdana" w:cs="Times New Roman"/>
          <w:szCs w:val="22"/>
        </w:rPr>
        <w:t xml:space="preserve"> </w:t>
      </w:r>
      <w:r w:rsidRPr="00690BC8">
        <w:rPr>
          <w:rFonts w:ascii="Verdana" w:eastAsia="Times New Roman" w:hAnsi="Verdana" w:cs="Times New Roman"/>
          <w:b/>
          <w:bCs/>
          <w:szCs w:val="22"/>
        </w:rPr>
        <w:t>Procedia - Social and Behavioral Sciences</w:t>
      </w:r>
      <w:r w:rsidRPr="00690BC8">
        <w:rPr>
          <w:rFonts w:ascii="Verdana" w:eastAsia="Times New Roman" w:hAnsi="Verdana" w:cs="Times New Roman"/>
          <w:i/>
          <w:iCs/>
          <w:szCs w:val="22"/>
        </w:rPr>
        <w:t>,</w:t>
      </w:r>
      <w:r w:rsidRPr="00690BC8">
        <w:rPr>
          <w:rFonts w:ascii="Verdana" w:eastAsia="Times New Roman" w:hAnsi="Verdana" w:cs="Times New Roman"/>
          <w:szCs w:val="22"/>
        </w:rPr>
        <w:t> officially confirmed that it will publish the papers presented in our conference.</w:t>
      </w:r>
    </w:p>
    <w:p w:rsidR="003C0EBD" w:rsidRPr="00690BC8" w:rsidRDefault="003C0EBD" w:rsidP="003C0EBD">
      <w:pPr>
        <w:spacing w:line="240" w:lineRule="auto"/>
        <w:rPr>
          <w:rFonts w:ascii="Verdana" w:eastAsia="Times New Roman" w:hAnsi="Verdana" w:cs="Times New Roman"/>
          <w:szCs w:val="22"/>
        </w:rPr>
      </w:pPr>
      <w:r w:rsidRPr="00690BC8">
        <w:rPr>
          <w:rFonts w:ascii="Verdana" w:eastAsia="Times New Roman" w:hAnsi="Verdana" w:cs="Times New Roman"/>
          <w:szCs w:val="22"/>
        </w:rPr>
        <w:t> </w:t>
      </w:r>
    </w:p>
    <w:p w:rsidR="003C0EBD" w:rsidRPr="00690BC8" w:rsidRDefault="00FB7691" w:rsidP="003C0EBD">
      <w:pPr>
        <w:spacing w:line="240" w:lineRule="auto"/>
        <w:rPr>
          <w:rFonts w:ascii="Verdana" w:eastAsia="Times New Roman" w:hAnsi="Verdana" w:cs="Times New Roman"/>
          <w:szCs w:val="22"/>
        </w:rPr>
      </w:pPr>
      <w:hyperlink r:id="rId8" w:tgtFrame="_blank" w:history="1">
        <w:r w:rsidR="003C0EBD" w:rsidRPr="00690BC8">
          <w:rPr>
            <w:rFonts w:ascii="Verdana" w:eastAsia="Times New Roman" w:hAnsi="Verdana" w:cs="Times New Roman"/>
            <w:i/>
            <w:iCs/>
            <w:color w:val="1155CC"/>
            <w:szCs w:val="22"/>
            <w:u w:val="single"/>
          </w:rPr>
          <w:t>http://www.journals.elsevier.com/procedia-social-and-behavioral-sciences</w:t>
        </w:r>
      </w:hyperlink>
    </w:p>
    <w:p w:rsidR="003C0EBD" w:rsidRPr="00690BC8" w:rsidRDefault="003C0EBD" w:rsidP="003C0EBD">
      <w:pPr>
        <w:spacing w:line="240" w:lineRule="auto"/>
        <w:jc w:val="both"/>
        <w:rPr>
          <w:rFonts w:ascii="Verdana" w:eastAsia="Times New Roman" w:hAnsi="Verdana" w:cs="Times New Roman"/>
          <w:szCs w:val="22"/>
        </w:rPr>
      </w:pPr>
    </w:p>
    <w:p w:rsidR="003C0EBD" w:rsidRPr="00690BC8" w:rsidRDefault="00690BC8" w:rsidP="009B673E">
      <w:pPr>
        <w:spacing w:line="240" w:lineRule="auto"/>
        <w:jc w:val="both"/>
        <w:rPr>
          <w:szCs w:val="22"/>
        </w:rPr>
      </w:pPr>
      <w:r>
        <w:rPr>
          <w:rFonts w:ascii="Verdana" w:eastAsia="Times New Roman" w:hAnsi="Verdana" w:cs="Times New Roman"/>
          <w:b/>
          <w:bCs/>
          <w:szCs w:val="22"/>
        </w:rPr>
        <w:t>D</w:t>
      </w:r>
      <w:r w:rsidR="003C0EBD" w:rsidRPr="00690BC8">
        <w:rPr>
          <w:rFonts w:ascii="Verdana" w:eastAsia="Times New Roman" w:hAnsi="Verdana" w:cs="Times New Roman"/>
          <w:b/>
          <w:bCs/>
          <w:szCs w:val="22"/>
        </w:rPr>
        <w:t>iscount for groups </w:t>
      </w:r>
      <w:r w:rsidR="003C0EBD" w:rsidRPr="00690BC8">
        <w:rPr>
          <w:rFonts w:ascii="Verdana" w:eastAsia="Times New Roman" w:hAnsi="Verdana" w:cs="Times New Roman"/>
          <w:szCs w:val="22"/>
        </w:rPr>
        <w:t xml:space="preserve">of at least three persons from the same department or research group who want to attend the Conference  together. </w:t>
      </w:r>
    </w:p>
    <w:p w:rsidR="003C0EBD" w:rsidRPr="00690BC8" w:rsidRDefault="003C0EBD" w:rsidP="003C0EBD">
      <w:pPr>
        <w:spacing w:line="240" w:lineRule="auto"/>
        <w:jc w:val="both"/>
        <w:rPr>
          <w:szCs w:val="22"/>
        </w:rPr>
      </w:pPr>
    </w:p>
    <w:p w:rsidR="003C0EBD" w:rsidRPr="00690BC8" w:rsidRDefault="009B673E" w:rsidP="003C0EBD">
      <w:pPr>
        <w:spacing w:line="240" w:lineRule="auto"/>
        <w:jc w:val="both"/>
        <w:rPr>
          <w:rFonts w:ascii="Verdana" w:eastAsia="Times New Roman" w:hAnsi="Verdana" w:cs="Times New Roman"/>
          <w:szCs w:val="22"/>
        </w:rPr>
      </w:pPr>
      <w:r w:rsidRPr="00690BC8">
        <w:rPr>
          <w:rFonts w:ascii="Verdana" w:eastAsia="Times New Roman" w:hAnsi="Verdana" w:cs="Times New Roman"/>
          <w:szCs w:val="22"/>
        </w:rPr>
        <w:t>Therefore, if</w:t>
      </w:r>
      <w:r w:rsidR="003C0EBD" w:rsidRPr="00690BC8">
        <w:rPr>
          <w:rFonts w:ascii="Verdana" w:eastAsia="Times New Roman" w:hAnsi="Verdana" w:cs="Times New Roman"/>
          <w:szCs w:val="22"/>
        </w:rPr>
        <w:t xml:space="preserve"> you have colleagues or research partners that might want to attend the conference, please share this opportunity with them.</w:t>
      </w:r>
    </w:p>
    <w:p w:rsidR="00690BC8" w:rsidRDefault="00690BC8" w:rsidP="00690BC8">
      <w:pPr>
        <w:rPr>
          <w:color w:val="000000" w:themeColor="text1"/>
          <w:szCs w:val="22"/>
          <w:shd w:val="clear" w:color="auto" w:fill="FFFFFF"/>
        </w:rPr>
      </w:pPr>
    </w:p>
    <w:p w:rsidR="00690BC8" w:rsidRPr="00690BC8" w:rsidRDefault="00690BC8" w:rsidP="00690BC8">
      <w:pPr>
        <w:rPr>
          <w:color w:val="000000" w:themeColor="text1"/>
          <w:szCs w:val="22"/>
          <w:shd w:val="clear" w:color="auto" w:fill="FFFFFF"/>
        </w:rPr>
      </w:pPr>
      <w:r w:rsidRPr="00690BC8">
        <w:rPr>
          <w:color w:val="000000" w:themeColor="text1"/>
          <w:szCs w:val="22"/>
          <w:shd w:val="clear" w:color="auto" w:fill="FFFFFF"/>
        </w:rPr>
        <w:t xml:space="preserve">More details about the submission process on the conference website: </w:t>
      </w:r>
      <w:r w:rsidRPr="00690BC8">
        <w:rPr>
          <w:szCs w:val="22"/>
        </w:rPr>
        <w:t>http://www.cnmhm2016.cogpsy.ro/index.php/submission-registration</w:t>
      </w:r>
    </w:p>
    <w:p w:rsidR="003C0EBD" w:rsidRPr="00690BC8" w:rsidRDefault="003C0EBD" w:rsidP="003C0EBD">
      <w:pPr>
        <w:spacing w:line="240" w:lineRule="auto"/>
        <w:jc w:val="both"/>
        <w:rPr>
          <w:rFonts w:ascii="Verdana" w:eastAsia="Times New Roman" w:hAnsi="Verdana" w:cs="Times New Roman"/>
          <w:szCs w:val="22"/>
        </w:rPr>
      </w:pPr>
    </w:p>
    <w:p w:rsidR="003C0EBD" w:rsidRPr="00690BC8" w:rsidRDefault="003C0EBD" w:rsidP="003C0EBD">
      <w:pPr>
        <w:spacing w:line="240" w:lineRule="auto"/>
        <w:jc w:val="both"/>
        <w:rPr>
          <w:rFonts w:ascii="Verdana" w:eastAsia="Times New Roman" w:hAnsi="Verdana" w:cs="Times New Roman"/>
          <w:szCs w:val="22"/>
        </w:rPr>
      </w:pPr>
      <w:r w:rsidRPr="00690BC8">
        <w:rPr>
          <w:rFonts w:ascii="Verdana" w:eastAsia="Times New Roman" w:hAnsi="Verdana" w:cs="Times New Roman"/>
          <w:szCs w:val="22"/>
        </w:rPr>
        <w:t>Adrian Opre, PhD</w:t>
      </w:r>
    </w:p>
    <w:p w:rsidR="003C0EBD" w:rsidRPr="00690BC8" w:rsidRDefault="003C0EBD" w:rsidP="003C0EBD">
      <w:pPr>
        <w:rPr>
          <w:szCs w:val="22"/>
        </w:rPr>
      </w:pPr>
      <w:r w:rsidRPr="00690BC8">
        <w:rPr>
          <w:rFonts w:ascii="Verdana" w:eastAsia="Times New Roman" w:hAnsi="Verdana" w:cs="Times New Roman"/>
          <w:szCs w:val="22"/>
        </w:rPr>
        <w:t>President of the Organizing Committee</w:t>
      </w:r>
    </w:p>
    <w:p w:rsidR="008D6E66" w:rsidRPr="00690BC8" w:rsidRDefault="008D6E66" w:rsidP="008D6E66">
      <w:pPr>
        <w:rPr>
          <w:rFonts w:eastAsia="Times New Roman"/>
          <w:color w:val="000000" w:themeColor="text1"/>
          <w:szCs w:val="22"/>
        </w:rPr>
      </w:pPr>
    </w:p>
    <w:p w:rsidR="00690BC8" w:rsidRPr="00690BC8" w:rsidRDefault="00690BC8">
      <w:pPr>
        <w:rPr>
          <w:color w:val="000000" w:themeColor="text1"/>
          <w:szCs w:val="22"/>
          <w:shd w:val="clear" w:color="auto" w:fill="FFFFFF"/>
        </w:rPr>
      </w:pPr>
    </w:p>
    <w:sectPr w:rsidR="00690BC8" w:rsidRPr="00690BC8" w:rsidSect="00690BC8">
      <w:headerReference w:type="default" r:id="rId9"/>
      <w:pgSz w:w="12240" w:h="15840"/>
      <w:pgMar w:top="1440" w:right="990" w:bottom="1135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CF1" w:rsidRDefault="00717CF1" w:rsidP="00F64148">
      <w:pPr>
        <w:spacing w:line="240" w:lineRule="auto"/>
      </w:pPr>
      <w:r>
        <w:separator/>
      </w:r>
    </w:p>
  </w:endnote>
  <w:endnote w:type="continuationSeparator" w:id="1">
    <w:p w:rsidR="00717CF1" w:rsidRDefault="00717CF1" w:rsidP="00F6414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CF1" w:rsidRDefault="00717CF1" w:rsidP="00F64148">
      <w:pPr>
        <w:spacing w:line="240" w:lineRule="auto"/>
      </w:pPr>
      <w:r>
        <w:separator/>
      </w:r>
    </w:p>
  </w:footnote>
  <w:footnote w:type="continuationSeparator" w:id="1">
    <w:p w:rsidR="00717CF1" w:rsidRDefault="00717CF1" w:rsidP="00F6414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148" w:rsidRDefault="003D677B" w:rsidP="00EA679A">
    <w:pPr>
      <w:pStyle w:val="Normal1"/>
      <w:jc w:val="center"/>
    </w:pPr>
    <w:r w:rsidRPr="003D677B">
      <w:rPr>
        <w:b/>
        <w:sz w:val="24"/>
        <w:szCs w:val="24"/>
      </w:rPr>
      <w:t>Romanian Association of Cognitive Science and Psychology Depar</w:t>
    </w:r>
    <w:r w:rsidR="00EA679A">
      <w:rPr>
        <w:b/>
        <w:sz w:val="24"/>
        <w:szCs w:val="24"/>
      </w:rPr>
      <w:t>tme</w:t>
    </w:r>
    <w:r w:rsidRPr="003D677B">
      <w:rPr>
        <w:b/>
        <w:sz w:val="24"/>
        <w:szCs w:val="24"/>
      </w:rPr>
      <w:t>nt from Babes Bolyai University</w:t>
    </w:r>
    <w:r w:rsidR="00C12426">
      <w:rPr>
        <w:noProof/>
      </w:rPr>
      <w:drawing>
        <wp:inline distT="114300" distB="114300" distL="114300" distR="114300">
          <wp:extent cx="5935232" cy="1544128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546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17B5A"/>
    <w:multiLevelType w:val="multilevel"/>
    <w:tmpl w:val="057C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FC32C6"/>
    <w:multiLevelType w:val="multilevel"/>
    <w:tmpl w:val="06EA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6B4733"/>
    <w:multiLevelType w:val="hybridMultilevel"/>
    <w:tmpl w:val="5CE2A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233AC1"/>
    <w:multiLevelType w:val="hybridMultilevel"/>
    <w:tmpl w:val="1D103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hyphenationZone w:val="425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F64148"/>
    <w:rsid w:val="000C5B25"/>
    <w:rsid w:val="001022AA"/>
    <w:rsid w:val="00112743"/>
    <w:rsid w:val="002158B6"/>
    <w:rsid w:val="002B432F"/>
    <w:rsid w:val="00317BA9"/>
    <w:rsid w:val="00353E93"/>
    <w:rsid w:val="003C0EBD"/>
    <w:rsid w:val="003D677B"/>
    <w:rsid w:val="003E0DDF"/>
    <w:rsid w:val="004607D5"/>
    <w:rsid w:val="00516877"/>
    <w:rsid w:val="00555022"/>
    <w:rsid w:val="005A1774"/>
    <w:rsid w:val="00622E9D"/>
    <w:rsid w:val="00680243"/>
    <w:rsid w:val="00690BC8"/>
    <w:rsid w:val="00717CF1"/>
    <w:rsid w:val="00740542"/>
    <w:rsid w:val="007D6967"/>
    <w:rsid w:val="00843883"/>
    <w:rsid w:val="00882AEB"/>
    <w:rsid w:val="008C02E8"/>
    <w:rsid w:val="008D6E66"/>
    <w:rsid w:val="00924EFA"/>
    <w:rsid w:val="009626FA"/>
    <w:rsid w:val="00963AC2"/>
    <w:rsid w:val="009A4C40"/>
    <w:rsid w:val="009B3842"/>
    <w:rsid w:val="009B394B"/>
    <w:rsid w:val="009B673E"/>
    <w:rsid w:val="009B67B5"/>
    <w:rsid w:val="00A63C12"/>
    <w:rsid w:val="00AC4BBA"/>
    <w:rsid w:val="00AE3860"/>
    <w:rsid w:val="00B01A94"/>
    <w:rsid w:val="00B04E13"/>
    <w:rsid w:val="00B81A3B"/>
    <w:rsid w:val="00BA32F3"/>
    <w:rsid w:val="00C12426"/>
    <w:rsid w:val="00C3225D"/>
    <w:rsid w:val="00C3635D"/>
    <w:rsid w:val="00C74A4C"/>
    <w:rsid w:val="00C77CD0"/>
    <w:rsid w:val="00CA742F"/>
    <w:rsid w:val="00CF0449"/>
    <w:rsid w:val="00D243F7"/>
    <w:rsid w:val="00D874AD"/>
    <w:rsid w:val="00E73174"/>
    <w:rsid w:val="00E85936"/>
    <w:rsid w:val="00EA679A"/>
    <w:rsid w:val="00ED0CEE"/>
    <w:rsid w:val="00F222BE"/>
    <w:rsid w:val="00F42232"/>
    <w:rsid w:val="00F42814"/>
    <w:rsid w:val="00F4300C"/>
    <w:rsid w:val="00F64148"/>
    <w:rsid w:val="00F97D68"/>
    <w:rsid w:val="00FA1FC9"/>
    <w:rsid w:val="00FB7691"/>
    <w:rsid w:val="00FD2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4AD"/>
  </w:style>
  <w:style w:type="paragraph" w:styleId="Heading1">
    <w:name w:val="heading 1"/>
    <w:basedOn w:val="Normal1"/>
    <w:next w:val="Normal1"/>
    <w:rsid w:val="00F64148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F64148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rsid w:val="00F64148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rsid w:val="00F64148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F64148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F64148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64148"/>
  </w:style>
  <w:style w:type="paragraph" w:styleId="Title">
    <w:name w:val="Title"/>
    <w:basedOn w:val="Normal1"/>
    <w:next w:val="Normal1"/>
    <w:rsid w:val="00F64148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F64148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A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A9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01A94"/>
  </w:style>
  <w:style w:type="paragraph" w:styleId="ListParagraph">
    <w:name w:val="List Paragraph"/>
    <w:basedOn w:val="Normal"/>
    <w:uiPriority w:val="34"/>
    <w:qFormat/>
    <w:rsid w:val="00B01A94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01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A94"/>
    <w:pPr>
      <w:spacing w:after="200" w:line="240" w:lineRule="auto"/>
    </w:pPr>
    <w:rPr>
      <w:rFonts w:asciiTheme="minorHAnsi" w:eastAsiaTheme="minorHAnsi" w:hAnsiTheme="minorHAnsi" w:cstheme="minorBidi"/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A94"/>
    <w:rPr>
      <w:rFonts w:asciiTheme="minorHAnsi" w:eastAsiaTheme="minorHAnsi" w:hAnsiTheme="minorHAnsi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C4B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1F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1FC9"/>
  </w:style>
  <w:style w:type="paragraph" w:styleId="Footer">
    <w:name w:val="footer"/>
    <w:basedOn w:val="Normal"/>
    <w:link w:val="FooterChar"/>
    <w:uiPriority w:val="99"/>
    <w:semiHidden/>
    <w:unhideWhenUsed/>
    <w:rsid w:val="00FA1F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1FC9"/>
  </w:style>
  <w:style w:type="character" w:styleId="FollowedHyperlink">
    <w:name w:val="FollowedHyperlink"/>
    <w:basedOn w:val="DefaultParagraphFont"/>
    <w:uiPriority w:val="99"/>
    <w:semiHidden/>
    <w:unhideWhenUsed/>
    <w:rsid w:val="009A4C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urnals.elsevier.com/procedia-social-and-behavioral-sciences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cnmhm2016.cogpsy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</dc:creator>
  <cp:lastModifiedBy>AO</cp:lastModifiedBy>
  <cp:revision>11</cp:revision>
  <dcterms:created xsi:type="dcterms:W3CDTF">2015-12-19T07:06:00Z</dcterms:created>
  <dcterms:modified xsi:type="dcterms:W3CDTF">2015-12-19T07:31:00Z</dcterms:modified>
</cp:coreProperties>
</file>